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BEC4FBB" w:rsidR="005A7127" w:rsidRPr="00FC3F8A" w:rsidRDefault="0005764F" w:rsidP="0005764F">
      <w:hyperlink r:id="rId6" w:history="1">
        <w:r w:rsidRPr="008A06EC">
          <w:rPr>
            <w:rStyle w:val="Collegamentoipertestuale"/>
          </w:rPr>
          <w:t>https://finanza.ilsecoloxix.it/News/2025/02/15/mocio-assiom-forex-banche-in-eccellenti-condizioni-definitivamente-alle-spalle-eredita-gcf/MTNfMjAyNS0wMi0xNV9UTEI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mocio-assiom-forex-banche-in-eccellenti-condizioni-definitivamente-alle-spalle-eredita-gcf/MTN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2025-02-20T15:15:00Z</dcterms:created>
  <dcterms:modified xsi:type="dcterms:W3CDTF">2025-02-20T15:15:00Z</dcterms:modified>
</cp:coreProperties>
</file>